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Pocsaj Nagyközség Önkormányzata Képviselő-testületének 14/2022. (X. 26.)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közterület elnevezésről és a házszámozás szabályairól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Pocsaj Nagyközség Önkormányzat képviselő-testülete, Magyarország helyi önkormányzatairól szóló 2011. évi CLXXXIX. törvény 51. §. (5) bekezdésében és 143. § (3) bekezdésében kapott felhatalmazás alapján, az Alaptörvény 32. cikk (1) bekezdés a) pontjában és Magyarország helyi önkormányzatairól szóló 2011. évi CLXXXIX. törvény 13. § (1) bekezdés 3. pontjában meghatározott feladatkörében eljárva a következőket rendeli el: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RENDELKEZÉSEK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rendelet célja, hogy a közterületek elnevezésének és a házszám-megállapításnak az egységes rendjét biztosítsa, és ennek során érvényesítse a helyi sajátosságokat, illetve az igazgatási, földrajzi, történelmi, közlekedési- tájékozódási és nyelvhelyességi szempontokat.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Pocsaj nagyközség közigazgatási területén új közterületet elnevezni, új házszámot megállapítani, a korábban megállapított közterületnevet és házszámot megváltoztatni csak e rendelet szabályai szerint lehet.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 rendelet alkalmazásában: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</w:r>
      <w:r>
        <w:rPr>
          <w:rStyle w:val="FootnoteAnchor"/>
          <w:sz w:val="24"/>
          <w:szCs w:val="24"/>
        </w:rPr>
        <w:footnoteReference w:id="2"/>
      </w:r>
      <w:r>
        <w:rPr>
          <w:i/>
          <w:iCs/>
          <w:sz w:val="24"/>
          <w:szCs w:val="24"/>
        </w:rPr>
        <w:t>Közterület</w:t>
      </w:r>
      <w:r>
        <w:rPr>
          <w:sz w:val="24"/>
          <w:szCs w:val="24"/>
        </w:rPr>
        <w:t>: közhasználatra szolgáló minden olyan állami vagy önkormányzati tulajdonban álló földterület, amelyet az ingatlan-nyilvántartás ekként tart nyilván.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rStyle w:val="FootnoteAnchor"/>
          <w:sz w:val="24"/>
          <w:szCs w:val="24"/>
        </w:rPr>
        <w:footnoteReference w:id="3"/>
      </w:r>
      <w:r>
        <w:rPr>
          <w:i/>
          <w:iCs/>
          <w:sz w:val="24"/>
          <w:szCs w:val="24"/>
        </w:rPr>
        <w:t>Közterületnév</w:t>
      </w:r>
      <w:r>
        <w:rPr>
          <w:sz w:val="24"/>
          <w:szCs w:val="24"/>
        </w:rPr>
        <w:t>: az ingatlan-nyilvántartásban nyilvántartott közterületnek a központi címregiszterről és a címkezelésről szóló kormányrendeletben meghatározott közterület jelleget is tartalmazó neve;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rStyle w:val="FootnoteAnchor"/>
          <w:sz w:val="24"/>
          <w:szCs w:val="24"/>
        </w:rPr>
        <w:footnoteReference w:id="4"/>
      </w:r>
      <w:r>
        <w:rPr>
          <w:i/>
          <w:iCs/>
          <w:sz w:val="24"/>
          <w:szCs w:val="24"/>
        </w:rPr>
        <w:t>Házszám:</w:t>
      </w:r>
      <w:r>
        <w:rPr>
          <w:sz w:val="24"/>
          <w:szCs w:val="24"/>
        </w:rPr>
        <w:t xml:space="preserve"> a telek egyedi azonosítására szolgáló megjelölés.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A KÖZTERÜLETEK ELNEVEZÉSÉRE VONATKOZÓ SZABÁLYOK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</w:t>
      </w:r>
      <w:r>
        <w:rPr>
          <w:rStyle w:val="FootnoteAnchor"/>
          <w:sz w:val="24"/>
          <w:szCs w:val="24"/>
        </w:rPr>
        <w:footnoteReference w:id="5"/>
      </w:r>
      <w:r>
        <w:rPr>
          <w:sz w:val="24"/>
          <w:szCs w:val="24"/>
        </w:rPr>
        <w:t xml:space="preserve"> Pocsaj Nagyközség belterületi és olyan külterületi közterületeit el kell nevezni, amely olyan ingatlanhoz vezet, amelyen az épített környezet alakításáról és védelméről szóló törvény szerinti épület található.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közterület elnevezése előtagként a közterület nevéből, és utótagként a közterület jellegére utaló meghatározásból (út, utca, tér, köz, sor stb.) áll.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közterületek elnevezésénél figyelemmel kell lenni a helyi kulturális, természeti vagy történelmi értékekre, sajátosságokra, a magyar nyelvhelyesség követelményeire, továbbá arra, hogy az elnevezés közérthető legyen.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település közigazgatási területén több azonos elnevezésű közterület nem lehet.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Az újonnan létesített közterület nevét a közterületnek a földhivatali ingatlan-nyilvántartásban történő bejegyzését követő egy éven belül meg kell állapítani.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Ha egy közterület településrendezés, beépítés következtében két vagy több részre tagozódik, egységes közterületként megszűnik és – az elkülönüléstől számított egy éven belül – új nevet kell adni a közterületnek.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A közterület nevének megváltoztatására a közterület elnevezésére vonatkozó szabályokat kell alkalmazni.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közterületek elnevezésére, illetve annak megváltoztatására irányuló eljárás írásbeli kezdeményezés alapján vagy hivatalból indulhat.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közterületek nevének megállapítása és megváltoztatása Pocsaj Nagyközség Önkormányzat képviselő-testületének hatáskörébe tartozik.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közterület elnevezéséről szóló döntést a helyben szokásos módon – az önkormányzat hivatalának hirdetőtábláján, valamint a helyben szokásos módon – közzé kell tenni.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közterületi névtábla kihelyezése, karbantartása és pótlása az önkormányzat feladata.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közterületi névtáblákat jól látható, az eligazodást, tájékoztatást segítő helyen, a helyszíni adottságok figyelembevételével kell elhelyezni.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régi elnevezést feltüntető névtáblákat a változásról szóló döntést követő 1 évig átlós vonallal áthúzva az eredeti helyén kell hagyni. Az új elnevezést feltüntető névtáblákat közvetlenül a régi mellett kell elhelyezni.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5/A. §</w:t>
      </w:r>
      <w:r>
        <w:rPr>
          <w:rStyle w:val="FootnoteAnchor"/>
          <w:b/>
          <w:bCs/>
          <w:sz w:val="24"/>
          <w:szCs w:val="24"/>
        </w:rPr>
        <w:footnoteReference w:id="6"/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Személyről utcát elnevezni halála után, legalább 10 év elmúltával lehet.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Az utcanév előtagjának meg kell egyeznie a személy által használt családi és utónévvel.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Kizárólag a családi nevet alkalmazni csak akkor szabad, ha a névadó személyiség így is, vagy csak így ismert, illetve az elnevezés egy családról történik.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Ha a névadó személy foglalkozása, hivatása vagy egyéb ismertető jegye szorosan kapcsolódik a személynévhez, akkor ez az utcanévben is feltüntethető.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Közterület élő személyről nem nevezhető el.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5/B. §</w:t>
      </w:r>
      <w:r>
        <w:rPr>
          <w:rStyle w:val="FootnoteAnchor"/>
          <w:b/>
          <w:bCs/>
          <w:sz w:val="24"/>
          <w:szCs w:val="24"/>
        </w:rPr>
        <w:footnoteReference w:id="7"/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Utcaelnevezéssel emléket állítani olyan magyar személynek lehet,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a)</w:t>
      </w:r>
      <w:r>
        <w:rPr>
          <w:sz w:val="24"/>
          <w:szCs w:val="24"/>
        </w:rPr>
        <w:tab/>
        <w:t>akinek közismert tevékenysége a nemzet történelmében kiemelkedő jelentőségű volt és személyi közmegbecsülésnek örvend,</w:t>
      </w:r>
    </w:p>
    <w:p>
      <w:pPr>
        <w:pStyle w:val="TextBody"/>
        <w:bidi w:val="0"/>
        <w:spacing w:lineRule="auto" w:line="240" w:before="0" w:after="0"/>
        <w:ind w:left="580" w:hanging="56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4"/>
          <w:szCs w:val="24"/>
        </w:rPr>
        <w:t>b)</w:t>
      </w:r>
      <w:r>
        <w:rPr>
          <w:sz w:val="24"/>
          <w:szCs w:val="24"/>
        </w:rPr>
        <w:tab/>
        <w:t>aki a tudomány, művelődés, sport vagy a társadalmi élet egyéb területén kimagaslóan jelentőset tett vagy alkotott, és ezáltal személyének emléke megőrzésre méltó,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c)akinek Pocsaj település életében, történetében kiemelkedő szerepe volt, tevékenységével hozzájárult a község fejlődéséhez.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Utcát elnevezni olyan nem magyar személyről is lehet, akinek élete, munkássága az emberiség egyetemes történelmében kiemelkedő jelentőségű volt.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A HÁZSZÁM MEGÁLLAPÍTÁSÁRA VONATKOZÓ SZABÁLYOK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 névvel ellátott közterületeken az ingatlanokat házszámmal kell ellátni. A közterületen több ingatlan azonos számmal nem jelölhető.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</w:t>
      </w:r>
      <w:r>
        <w:rPr>
          <w:rStyle w:val="FootnoteAnchor"/>
          <w:sz w:val="24"/>
          <w:szCs w:val="24"/>
        </w:rPr>
        <w:footnoteReference w:id="8"/>
      </w:r>
      <w:r>
        <w:rPr>
          <w:sz w:val="24"/>
          <w:szCs w:val="24"/>
        </w:rPr>
        <w:t xml:space="preserve"> Külterületi ingatlant helyrajzi számmal kell jelölni.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közterület házszám-megállapítását úgy kell elvégezni, hogy a számok a település központjától kifelé haladva 1-től kezdődően növekedjenek és az utca bal oldalán a páros, jobb oldalán a páratlan számok legyenek. Amennyiben ez a megoldás nem alkalmazható, az érintett közterület számozását a magasabb rendű közút irányából kell megkezdeni.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csak egyoldalon beépíthető közterület házszám-megállapítása 1-től kezdődően folyamatosan is történhet.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Terek esetén a házszám-megállapítás 1-től kezdődően folyamatosan, az óramutató járásával megegyezően alakítandó ki.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(6) Saroktelek esetében csak annak az oldalnak kell házszámot megállapítani, amelyen a gyalogos közlekedésre alkalmas kapubejárat van.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(7) Tömbtelken kialakított többszintes épületeknél minden lépcsőházat önálló házszámmal kell ellátni.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ingatlanok számozására arab számokat kell használni. Kisegítő jelzésként alátöréssel a magyar ABC ékezet nélküli betűi vagy arab számok is alkalmazhatóak.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Telekfelosztás során keletkező új helyrajzi számú ingatlanok esetén a kisebb számú ingatlan marad az eredeti számon, a további ingatlanok számozását pedig alátöréssel a magyar ABC ékezet nélküli nagybetűinek alkalmazásával kell elvégezni.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Telekegyesítés után az ingatlanok házszámát össze kell vonni. A házszámot úgy kell feltüntetni, hogy az egyesítés előtti legalacsonyabb és legmagasabb számot kötőjellel kell összekötni.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Ha az ingatlanon újabb lakások létesülnek, akkor a többlakásos épület házszámának megállapítását úgy kell elvégezni, hogy meglévő házszámot meghagyva alátöréssel, a magyar ABC ékezet nélküli kisbetűivel kell az új lakásokat ellátni.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Az ingatlan házszámát a jegyző határozattal állapítja meg.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házszám-megállapításra irányuló eljárás írásbeli kezdeményezés alapján vagy hivatalból indulhat.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Több ingatlant érintő házszám-megállapítás közterületenként egy határozatban történik.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(4) A házszám megállapításáról szóló határozatot az érintett ingatlannal rendelkezni jogosultakon túl közölni kell az ingatlannal közvetlenül határos ingatlan tulajdonosaival, továbbá az ingatlan- vagy lakcímnyilvántartó hatóságokkal.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(5) A házszám-megállapítására az általános közigazgatási rendtartásról szóló törvény rendelkezéseit kell alkalmazni.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Az ingatlan tulajdonosa köteles az ingatlan házszámát, vagy – amennyiben az ingatlan más módon egyértelműen nem azonosítható – helyrajzi számát (továbbiakban együtt: házszámjelölés) az ingatlan utcafronti kerítésén, házfalán, vagy külön tartószerkezeten, a közterületről jól látható módon kihelyezni vagy azonosításra alkalmas más módon feltüntetni.</w:t>
      </w:r>
    </w:p>
    <w:p>
      <w:pPr>
        <w:pStyle w:val="TextBody"/>
        <w:bidi w:val="0"/>
        <w:spacing w:lineRule="auto" w:line="240" w:before="280" w:after="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ZÁRÓ RENDELKEZÉSEK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(1) E rendelet hatálybalépése a rendelet hatálybalépésekor már meglevő ingatlanok házszámozását – a (3)-(4) bekezdésben foglalt kivétellel - nem érinti.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már megállapított házszámok megváltoztatására csak indokolt esetben, olyan rendezetlen állapot megszüntetése érdekében kerülhet sor, amely az ingatlanok azonosítását akadályozzák.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(3) A személyiadat- és lakcímnyilvántartásban azonos házszámon lévő, több helyrajzi szám alá tartozó ingatlanok esetén a házszámozást a 7. § rendelkezései alapján az érintett kérelmére vagy hivatalból el kell végezni.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a kihirdetését követő napon lép hatályba.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2. § a) pontja a Pocsaj Nagyközség Önkormányzata Képviselő-testületének 1/2023. (II. 24.) önkormányzati rendelete 1. §-ával megállapított szöveg.</w:t>
      </w:r>
    </w:p>
  </w:footnote>
  <w:footnote w:id="3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2. § b) pontja a Pocsaj Nagyközség Önkormányzata Képviselő-testületének 1/2023. (II. 24.) önkormányzati rendelete 1. §-ával megállapított szöveg.</w:t>
      </w:r>
    </w:p>
  </w:footnote>
  <w:footnote w:id="4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2. § c) pontja a Pocsaj Nagyközség Önkormányzata Képviselő-testületének 1/2023. (II. 24.) önkormányzati rendelete 1. §-ával megállapított szöveg.</w:t>
      </w:r>
    </w:p>
  </w:footnote>
  <w:footnote w:id="5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3. § (1) bekezdése a Pocsaj Nagyközség Önkormányzata Képviselő-testületének 1/2023. (II. 24.) önkormányzati rendelete 2. §-ával megállapított szöveg.</w:t>
      </w:r>
    </w:p>
  </w:footnote>
  <w:footnote w:id="6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Az 5/A. §-t a Pocsaj Nagyközség Önkormányzata Képviselő-testületének 1/2023. (II. 24.) önkormányzati rendelete 3. §-a iktatta be.</w:t>
      </w:r>
    </w:p>
  </w:footnote>
  <w:footnote w:id="7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Az 5/B. §-t a Pocsaj Nagyközség Önkormányzata Képviselő-testületének 1/2023. (II. 24.) önkormányzati rendelete 3. §-a iktatta be.</w:t>
      </w:r>
    </w:p>
  </w:footnote>
  <w:footnote w:id="8">
    <w:p>
      <w:pPr>
        <w:pStyle w:val="Footnote"/>
        <w:suppressLineNumbers/>
        <w:bidi w:val="0"/>
        <w:ind w:left="339" w:hanging="339"/>
        <w:jc w:val="left"/>
        <w:rPr/>
      </w:pPr>
      <w:r>
        <w:rPr>
          <w:rStyle w:val="FootnoteCharacters"/>
        </w:rPr>
        <w:footnoteRef/>
      </w:r>
      <w:r>
        <w:rPr/>
        <w:tab/>
        <w:t>A 6. § (2) bekezdése a Pocsaj Nagyközség Önkormányzata Képviselő-testületének 1/2023. (II. 24.) önkormányzati rendelete 4. §-ával megállapított szöveg.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